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SR2 2025 83 vom 24. November 2025</w:t>
      </w:r>
    </w:p>
    <w:p>
      <w:r>
        <w:t>GR Gerichte, 2025-11-24, DE</w:t>
      </w:r>
    </w:p>
    <w:p>
      <w:r>
        <w:rPr>
          <w:b/>
        </w:rPr>
        <w:t xml:space="preserve">Quelle: </w:t>
      </w:r>
      <w:r>
        <w:t>https://mcp.opencaselaw.ch/entscheid/gr_gerichte_SR2 2025 83</w:t>
      </w:r>
    </w:p>
    <w:p>
      <w:r>
        <w:t>FR: GR_GERICHTE SR2 2025 83 du 24 novembre 2025</w:t>
      </w:r>
    </w:p>
    <w:p>
      <w:r>
        <w:t>IT: GR_GERICHTE SR2 2025 83 del 24 novembre 2025</w:t>
      </w:r>
    </w:p>
    <w:p>
      <w:pPr>
        <w:pStyle w:val="Heading2"/>
      </w:pPr>
      <w:r>
        <w:t>Regeste</w:t>
      </w:r>
    </w:p>
    <w:p>
      <w:r>
        <w:t>Verlängerung der Untersuchungshaft | Beschwerde gegen Zwangsmassnahmengericht, Strafrecht, U-Haft etc.</w:t>
      </w:r>
    </w:p>
    <w:p>
      <w:pPr>
        <w:pStyle w:val="Heading2"/>
      </w:pPr>
      <w:r>
        <w:t>Erwägungen</w:t>
      </w:r>
    </w:p>
    <w:p>
      <w:r>
        <w:rPr>
          <w:b/>
        </w:rPr>
        <w:t>E. 1</w:t>
      </w:r>
    </w:p>
    <w:p>
      <w:r>
        <w:t>Der (notwendig) amtlich verteidigte Beschwerdeführer erhebt selbständig Be- schwerde gegen den Entscheid des Zwangsmassnahmengerichts. Dies ist nicht zu</w:t>
      </w:r>
    </w:p>
    <w:p>
      <w:r>
        <w:rPr>
          <w:b/>
        </w:rPr>
        <w:t>E. 3</w:t>
      </w:r>
    </w:p>
    <w:p>
      <w:r>
        <w:t>/ 5 beanstanden. Denn trotz Beizugs eines Rechtsbeistands behält die beschuldigte (prozess- und postulationsfähige) Person die Möglichkeit, materiell die zu treffenden prozessualen Entscheidungen zu fällen, Rechtsmittel zu ergreifen, auf solche zu verzichten oder zurückzuziehen (Urteil des Bundesgerichts 6B_40/2019 vom 25. Juni 2019 E. 1). Aus dem Recht auf Selbstverteidigung folgt somit, dass die beschuldigte Person „neben einem privat beigezogenen oder amtlich bestellten Ver- teidiger auch selbst alles zur Entlastung Notwendige“ vorkehren kann (LIEBER, in: Donatsch/Lieber/Summers/Wohlers [Hrsg.], Kommentar zur Schweizerischen Straf- prozessordnung, 3. Aufl. 2020, Art. 129 N. 5; HAEFELIN, Die amtliche Verteidigung im schweizerischen Strafprozess, 2010, S. 104). Auch in Fällen notwendiger Vertei- digung ist die handlungsfähige beschuldigte Person berechtigt, sich selbst zu ver- teidigen (LIEBER, a.a.O., Art. 130 N. 10). 2.1. Die Beschwerde ist innert 10 Tagen schriftlich und begründet einzureichen (Art. 396 Abs. 1 StPO). Die Anforderungen an Form und Begründung der Beschwer- deschrift ergeben sich aus den Art. 385 und 390 StPO. Begründet heisst demnach, dass genau anzugeben ist, welche Punkte des Entscheides angefochten werden, welche Gründe einen anderen Entscheid nahe legen und welche Beweismittel an- gerufen werden (vgl. KELLER, in: Donatsch/Lieber/Summers/Wohlers [Hrsg.], Kom- mentar zur Schweizerischen Strafprozessordnung, 3. Aufl. 2020, Art. 396 N. 14). Mit Verfügung des Vorsitzenden der Zweiten strafrechtlichen Kammer vom 5. No- vember 2025 wurde der Beschwerdeführer unter Ansetzung einer kurzen Nachfrist auf die Begründungsanforderungen hingewiesen. 2.2. Mit dem angefochtenen Entscheid wurde die bereits zu einem früheren Zeit- punkt gegenüber dem Beschwerdeführer angeordnete Untersuchungshaft verlän- gert. Der Beschwerdeführer ist somit durch den Entscheid offensichtlich beschwert und hat ein rechtlich geschütztes Interesse an dessen Aufhebung oder Änderung. Die Beschwerdelegitimation ist somit grundsätzlich zu bejahen (Art. 382 StPO). Hingegen fehlt eine rechtsgenügliche Auseinandersetzung mit dem Entscheid des Zwangsmassnahmengerichts. Sowohl die Beschwerde wie auch die Eingaben, wel- che der Beschwerdeführer innerhalb der ihm gestützt auf Art. 385 Abs. 2 StPO ge- währten Nachfrist eingereicht hat, enthalten lediglich schwer verständliche Aus- führungen zu seinem Gesundheitszustand, zur Glaubwürdigkeit von Belastungs- zeugen, zu seinem Drogenkonsum usw., jedoch keine substantiierte und verständ- liche Kritik an der Rechtmässigkeit des Haftverlängerungsentscheids. Namentlich setzt er sich nicht ansatzweise mit den darin enthaltenen Erwägungen auseinander. Damit erfüllt die Beschwerde – selbst unter Berücksichtigung, dass es sich um eine Laieneingabe handelt – die gesetzlichen Begründungsanforderungen nach Art. 385</w:t>
      </w:r>
    </w:p>
    <w:p>
      <w:r>
        <w:rPr>
          <w:b/>
        </w:rPr>
        <w:t>E. 4</w:t>
      </w:r>
    </w:p>
    <w:p>
      <w:r>
        <w:t>Auf die Erhebung von Gerichtskosten für das Beschwerdeverfahren wird an- gesichts der konkreten Verhältnisse verzichtet (Art. 11 VGS [BR 350.210]).</w:t>
      </w:r>
    </w:p>
    <w:p>
      <w:r>
        <w:rPr>
          <w:b/>
        </w:rPr>
        <w:t>E. 5</w:t>
      </w:r>
    </w:p>
    <w:p>
      <w:r>
        <w:t>/ 5 Es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